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0351B1" w:rsidRDefault="000351B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0351B1" w:rsidRDefault="004C35E2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poliuretanowa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satynowym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przyczepności</w:t>
      </w:r>
      <w:proofErr w:type="spellEnd"/>
      <w:r>
        <w:rPr>
          <w:rFonts w:ascii="Arial" w:hAnsi="Arial" w:cs="Arial"/>
          <w:spacing w:val="-2"/>
          <w:lang w:val="en-US"/>
        </w:rPr>
        <w:t xml:space="preserve"> do PCV. </w:t>
      </w:r>
      <w:proofErr w:type="spellStart"/>
      <w:r>
        <w:rPr>
          <w:rFonts w:ascii="Arial" w:hAnsi="Arial" w:cs="Arial"/>
          <w:spacing w:val="-2"/>
          <w:lang w:val="en-US"/>
        </w:rPr>
        <w:t>Cechuje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ją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wysoka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odporność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czynniki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chemiczne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twardość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elastyczność</w:t>
      </w:r>
      <w:proofErr w:type="spellEnd"/>
      <w:r w:rsidR="000F46CB">
        <w:rPr>
          <w:rFonts w:ascii="Arial" w:hAnsi="Arial" w:cs="Arial"/>
          <w:spacing w:val="-2"/>
          <w:lang w:val="en-US"/>
        </w:rPr>
        <w:t xml:space="preserve">. </w:t>
      </w:r>
    </w:p>
    <w:p w:rsidR="000351B1" w:rsidRDefault="000351B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0351B1" w:rsidRPr="004C35E2" w:rsidRDefault="004C35E2" w:rsidP="004C35E2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 xml:space="preserve">, w </w:t>
      </w:r>
      <w:proofErr w:type="spellStart"/>
      <w:r>
        <w:rPr>
          <w:rFonts w:ascii="Arial" w:hAnsi="Arial" w:cs="Arial"/>
          <w:spacing w:val="-2"/>
          <w:lang w:val="en-US"/>
        </w:rPr>
        <w:t>przypadku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kolorów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słabej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sile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krycia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dopuszcza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stosunek</w:t>
      </w:r>
      <w:r w:rsidR="000F46CB" w:rsidRPr="004C35E2">
        <w:rPr>
          <w:rFonts w:ascii="Arial" w:hAnsi="Arial" w:cs="Arial"/>
          <w:spacing w:val="-2"/>
          <w:lang w:val="en-US"/>
        </w:rPr>
        <w:t>30/70.</w:t>
      </w:r>
    </w:p>
    <w:p w:rsidR="000351B1" w:rsidRDefault="000351B1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0351B1" w:rsidRDefault="000351B1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0351B1" w:rsidRDefault="000351B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0351B1" w:rsidRDefault="00961007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0F46CB">
        <w:rPr>
          <w:rFonts w:ascii="Arial" w:hAnsi="Arial" w:cs="Arial"/>
          <w:b/>
          <w:lang w:val="en-US"/>
        </w:rPr>
        <w:t xml:space="preserve">: </w:t>
      </w:r>
      <w:r w:rsidR="000F46C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Poliuretan</w:t>
      </w:r>
      <w:proofErr w:type="spellEnd"/>
      <w:r>
        <w:rPr>
          <w:rFonts w:ascii="Arial" w:hAnsi="Arial" w:cs="Arial"/>
          <w:lang w:val="en-US"/>
        </w:rPr>
        <w:t xml:space="preserve"> 2K</w:t>
      </w:r>
    </w:p>
    <w:p w:rsidR="000351B1" w:rsidRDefault="00961007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0F46CB">
        <w:rPr>
          <w:rFonts w:ascii="Arial" w:hAnsi="Arial" w:cs="Arial"/>
          <w:b/>
          <w:lang w:val="en-US"/>
        </w:rPr>
        <w:t>:</w:t>
      </w:r>
      <w:r w:rsidR="000F46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Satyna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 w:rsidR="000F46CB">
        <w:rPr>
          <w:rFonts w:ascii="Arial" w:hAnsi="Arial" w:cs="Arial"/>
          <w:lang w:val="en-US"/>
        </w:rPr>
        <w:t xml:space="preserve">: 60-80%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0F46CB">
        <w:rPr>
          <w:rFonts w:ascii="Arial" w:hAnsi="Arial" w:cs="Arial"/>
          <w:lang w:val="en-US"/>
        </w:rPr>
        <w:t xml:space="preserve"> 60º) </w:t>
      </w:r>
    </w:p>
    <w:p w:rsidR="000351B1" w:rsidRDefault="00961007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0F46CB">
        <w:rPr>
          <w:rFonts w:ascii="Arial" w:hAnsi="Arial" w:cs="Arial"/>
          <w:b/>
          <w:lang w:val="en-US"/>
        </w:rPr>
        <w:t xml:space="preserve">: </w:t>
      </w:r>
      <w:r w:rsidR="000F46C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0F46CB">
        <w:rPr>
          <w:rFonts w:ascii="Arial" w:hAnsi="Arial" w:cs="Arial"/>
          <w:lang w:val="en-US"/>
        </w:rPr>
        <w:t xml:space="preserve">1,1-1,3 kg/l </w:t>
      </w:r>
      <w:r>
        <w:rPr>
          <w:rFonts w:ascii="Arial" w:hAnsi="Arial" w:cs="Arial"/>
          <w:lang w:val="en-US"/>
        </w:rPr>
        <w:t>w</w:t>
      </w:r>
      <w:r w:rsidR="000F46CB">
        <w:rPr>
          <w:rFonts w:ascii="Arial" w:hAnsi="Arial" w:cs="Arial"/>
          <w:lang w:val="en-US"/>
        </w:rPr>
        <w:t xml:space="preserve"> 20ºC</w:t>
      </w:r>
    </w:p>
    <w:p w:rsidR="000351B1" w:rsidRDefault="00961007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0F46CB">
        <w:rPr>
          <w:rFonts w:ascii="Arial" w:hAnsi="Arial" w:cs="Arial"/>
          <w:b/>
          <w:bCs/>
          <w:lang w:val="en-US"/>
        </w:rPr>
        <w:t>:</w:t>
      </w:r>
      <w:r w:rsidR="000F46C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56-66 %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  <w:r w:rsidR="000F46CB">
        <w:rPr>
          <w:rFonts w:ascii="Arial" w:hAnsi="Arial" w:cs="Arial"/>
          <w:bCs/>
          <w:lang w:val="en-US"/>
        </w:rPr>
        <w:t xml:space="preserve"> </w:t>
      </w:r>
    </w:p>
    <w:p w:rsidR="000351B1" w:rsidRDefault="00961007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0F46CB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0F46CB">
        <w:rPr>
          <w:rFonts w:ascii="Arial" w:hAnsi="Arial" w:cs="Arial"/>
          <w:b/>
          <w:bCs/>
          <w:lang w:val="en-US"/>
        </w:rPr>
        <w:t>):</w:t>
      </w:r>
      <w:r w:rsidR="000F46C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0F46CB">
        <w:rPr>
          <w:rFonts w:ascii="Arial" w:hAnsi="Arial" w:cs="Arial"/>
          <w:bCs/>
          <w:lang w:val="en-US"/>
        </w:rPr>
        <w:t>55 ± 2 %</w:t>
      </w:r>
    </w:p>
    <w:p w:rsidR="000351B1" w:rsidRDefault="00961007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0F46CB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0F46CB">
        <w:rPr>
          <w:rFonts w:ascii="Arial" w:hAnsi="Arial" w:cs="Arial"/>
          <w:b/>
          <w:bCs/>
          <w:lang w:val="en-US"/>
        </w:rPr>
        <w:t>):</w:t>
      </w:r>
      <w:r w:rsidR="000F46C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0F46CB">
        <w:rPr>
          <w:rFonts w:ascii="Arial" w:hAnsi="Arial" w:cs="Arial"/>
          <w:bCs/>
          <w:lang w:val="en-US"/>
        </w:rPr>
        <w:t>45</w:t>
      </w:r>
      <w:r w:rsidR="000F46CB">
        <w:rPr>
          <w:rFonts w:ascii="Arial" w:hAnsi="Arial" w:cs="Arial"/>
          <w:b/>
          <w:bCs/>
          <w:lang w:val="en-US"/>
        </w:rPr>
        <w:t xml:space="preserve"> </w:t>
      </w:r>
      <w:r w:rsidR="000F46CB">
        <w:rPr>
          <w:rFonts w:ascii="Arial" w:hAnsi="Arial" w:cs="Arial"/>
          <w:bCs/>
          <w:lang w:val="en-US"/>
        </w:rPr>
        <w:t>± 2 % E-90</w:t>
      </w:r>
    </w:p>
    <w:p w:rsidR="000351B1" w:rsidRDefault="00961007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VOC 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0F46CB">
        <w:rPr>
          <w:rFonts w:ascii="Arial" w:hAnsi="Arial" w:cs="Arial"/>
          <w:b/>
          <w:bCs/>
          <w:lang w:val="en-US"/>
        </w:rPr>
        <w:t>:</w:t>
      </w:r>
      <w:r w:rsidR="000F46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4C35E2">
        <w:rPr>
          <w:rFonts w:ascii="Arial" w:hAnsi="Arial" w:cs="Arial"/>
          <w:lang w:val="en-US"/>
        </w:rPr>
        <w:t>&lt; 500 g/l - 2004/42/WE</w:t>
      </w:r>
      <w:r w:rsidR="000F46CB">
        <w:rPr>
          <w:rFonts w:ascii="Arial" w:hAnsi="Arial" w:cs="Arial"/>
          <w:lang w:val="en-US"/>
        </w:rPr>
        <w:t xml:space="preserve"> - IIA(j)(500) </w:t>
      </w:r>
    </w:p>
    <w:p w:rsidR="000351B1" w:rsidRDefault="00961007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0F46CB">
        <w:rPr>
          <w:rFonts w:ascii="Arial" w:hAnsi="Arial" w:cs="Arial"/>
          <w:b/>
          <w:bCs/>
          <w:lang w:val="en-US"/>
        </w:rPr>
        <w:t>:</w:t>
      </w:r>
      <w:r w:rsidR="000F46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4C35E2">
        <w:rPr>
          <w:rFonts w:ascii="Arial" w:hAnsi="Arial" w:cs="Arial"/>
          <w:lang w:val="en-US"/>
        </w:rPr>
        <w:t xml:space="preserve">40-50 </w:t>
      </w:r>
      <w:proofErr w:type="spellStart"/>
      <w:r w:rsidR="004C35E2">
        <w:rPr>
          <w:rFonts w:ascii="Arial" w:hAnsi="Arial" w:cs="Arial"/>
          <w:lang w:val="en-US"/>
        </w:rPr>
        <w:t>mikronów</w:t>
      </w:r>
      <w:proofErr w:type="spellEnd"/>
      <w:r w:rsidR="000F46CB">
        <w:rPr>
          <w:rFonts w:ascii="Arial" w:hAnsi="Arial" w:cs="Arial"/>
          <w:lang w:val="en-US"/>
        </w:rPr>
        <w:t xml:space="preserve"> (2 </w:t>
      </w:r>
      <w:proofErr w:type="spellStart"/>
      <w:r w:rsidR="004C35E2">
        <w:rPr>
          <w:rFonts w:ascii="Arial" w:hAnsi="Arial" w:cs="Arial"/>
          <w:lang w:val="en-US"/>
        </w:rPr>
        <w:t>warstwy</w:t>
      </w:r>
      <w:proofErr w:type="spellEnd"/>
      <w:r w:rsidR="000F46CB">
        <w:rPr>
          <w:rFonts w:ascii="Arial" w:hAnsi="Arial" w:cs="Arial"/>
          <w:lang w:val="en-US"/>
        </w:rPr>
        <w:t xml:space="preserve">) </w:t>
      </w:r>
    </w:p>
    <w:p w:rsidR="000351B1" w:rsidRDefault="00961007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Wydajnoćś</w:t>
      </w:r>
      <w:proofErr w:type="spellEnd"/>
      <w:r w:rsidR="000F46CB">
        <w:rPr>
          <w:rFonts w:ascii="Arial" w:hAnsi="Arial" w:cs="Arial"/>
          <w:b/>
          <w:lang w:val="en-US"/>
        </w:rPr>
        <w:t>:</w:t>
      </w:r>
      <w:r w:rsidR="000F46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0F46CB">
        <w:rPr>
          <w:rFonts w:ascii="Arial" w:hAnsi="Arial" w:cs="Arial"/>
          <w:lang w:val="en-US"/>
        </w:rPr>
        <w:t>11-14 m</w:t>
      </w:r>
      <w:r w:rsidR="000F46CB">
        <w:rPr>
          <w:rFonts w:ascii="Arial" w:hAnsi="Arial" w:cs="Arial"/>
          <w:vertAlign w:val="superscript"/>
          <w:lang w:val="en-US"/>
        </w:rPr>
        <w:t>2</w:t>
      </w:r>
      <w:r w:rsidR="000F46CB">
        <w:rPr>
          <w:rFonts w:ascii="Arial" w:hAnsi="Arial" w:cs="Arial"/>
          <w:lang w:val="en-US"/>
        </w:rPr>
        <w:t>/l</w:t>
      </w:r>
    </w:p>
    <w:p w:rsidR="000351B1" w:rsidRDefault="000F46CB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0351B1" w:rsidRDefault="000351B1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PRZYGOTOWANIE PODŁOŻA </w:t>
            </w:r>
          </w:p>
        </w:tc>
      </w:tr>
    </w:tbl>
    <w:p w:rsidR="000351B1" w:rsidRDefault="000351B1">
      <w:pPr>
        <w:ind w:left="-142" w:right="-2"/>
        <w:rPr>
          <w:rFonts w:ascii="Arial" w:hAnsi="Arial" w:cs="Arial"/>
          <w:lang w:val="en-US"/>
        </w:rPr>
      </w:pPr>
    </w:p>
    <w:p w:rsidR="000351B1" w:rsidRDefault="004C35E2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bezpośrednio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(DS226 </w:t>
      </w:r>
      <w:proofErr w:type="spellStart"/>
      <w:r>
        <w:rPr>
          <w:rFonts w:ascii="Arial" w:hAnsi="Arial" w:cs="Arial"/>
          <w:lang w:val="en-US"/>
        </w:rPr>
        <w:t>zmywacz</w:t>
      </w:r>
      <w:proofErr w:type="spellEnd"/>
      <w:r>
        <w:rPr>
          <w:rFonts w:ascii="Arial" w:hAnsi="Arial" w:cs="Arial"/>
          <w:lang w:val="en-US"/>
        </w:rPr>
        <w:t xml:space="preserve"> do </w:t>
      </w:r>
      <w:proofErr w:type="spellStart"/>
      <w:r>
        <w:rPr>
          <w:rFonts w:ascii="Arial" w:hAnsi="Arial" w:cs="Arial"/>
          <w:lang w:val="en-US"/>
        </w:rPr>
        <w:t>plastików</w:t>
      </w:r>
      <w:proofErr w:type="spellEnd"/>
      <w:r>
        <w:rPr>
          <w:rFonts w:ascii="Arial" w:hAnsi="Arial" w:cs="Arial"/>
          <w:lang w:val="en-US"/>
        </w:rPr>
        <w:t xml:space="preserve">)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wolne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zabrudzeń</w:t>
      </w:r>
      <w:proofErr w:type="spellEnd"/>
      <w:r>
        <w:rPr>
          <w:rFonts w:ascii="Arial" w:hAnsi="Arial" w:cs="Arial"/>
          <w:lang w:val="en-US"/>
        </w:rPr>
        <w:t xml:space="preserve"> PCV.</w:t>
      </w:r>
    </w:p>
    <w:p w:rsidR="000351B1" w:rsidRDefault="000351B1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0351B1" w:rsidRDefault="000351B1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0351B1" w:rsidRDefault="000351B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697" w:type="dxa"/>
        <w:jc w:val="center"/>
        <w:tblInd w:w="-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7"/>
        <w:gridCol w:w="1125"/>
        <w:gridCol w:w="1125"/>
        <w:gridCol w:w="1125"/>
        <w:gridCol w:w="1125"/>
        <w:gridCol w:w="955"/>
        <w:gridCol w:w="955"/>
        <w:gridCol w:w="955"/>
        <w:gridCol w:w="955"/>
      </w:tblGrid>
      <w:tr w:rsidR="000351B1" w:rsidTr="00961007">
        <w:trPr>
          <w:trHeight w:val="800"/>
          <w:tblHeader/>
          <w:jc w:val="center"/>
        </w:trPr>
        <w:tc>
          <w:tcPr>
            <w:tcW w:w="137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D-987 :</w:t>
            </w:r>
          </w:p>
          <w:p w:rsidR="000351B1" w:rsidRDefault="0096100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</w:t>
            </w:r>
            <w:r w:rsidR="000F46CB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90 standard :</w:t>
            </w:r>
          </w:p>
          <w:p w:rsidR="000351B1" w:rsidRDefault="00961007">
            <w:pPr>
              <w:jc w:val="center"/>
              <w:rPr>
                <w:rFonts w:ascii="Arial" w:hAnsi="Arial"/>
                <w:b/>
                <w:i/>
                <w:sz w:val="18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Rozpuszczalnik</w:t>
            </w:r>
            <w:r w:rsidR="000F46CB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0D471275" wp14:editId="7A9BC00F">
                  <wp:extent cx="626110" cy="362585"/>
                  <wp:effectExtent l="19050" t="0" r="2540" b="0"/>
                  <wp:docPr id="334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423EA12" wp14:editId="30D7A0A9">
                  <wp:extent cx="403161" cy="449404"/>
                  <wp:effectExtent l="19050" t="0" r="0" b="0"/>
                  <wp:docPr id="335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5B3B515A" wp14:editId="0DACE15C">
                  <wp:extent cx="457042" cy="457042"/>
                  <wp:effectExtent l="19050" t="0" r="158" b="0"/>
                  <wp:docPr id="33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351B1" w:rsidRDefault="000F46CB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C4E3CF8" wp14:editId="2085D8ED">
                  <wp:extent cx="457043" cy="457043"/>
                  <wp:effectExtent l="19050" t="0" r="157" b="0"/>
                  <wp:docPr id="337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9DFC5FA" wp14:editId="28BAE568">
                  <wp:extent cx="366358" cy="337376"/>
                  <wp:effectExtent l="19050" t="0" r="0" b="0"/>
                  <wp:docPr id="338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1B1" w:rsidRDefault="000F46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351B1" w:rsidRDefault="000F46CB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4FF9B9A" wp14:editId="7D012E18">
                  <wp:extent cx="358801" cy="358801"/>
                  <wp:effectExtent l="19050" t="0" r="3149" b="0"/>
                  <wp:docPr id="339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1B1" w:rsidRDefault="000F46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351B1" w:rsidRDefault="000F46C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152560A" wp14:editId="3EBB9945">
                  <wp:extent cx="395605" cy="403860"/>
                  <wp:effectExtent l="19050" t="0" r="4445" b="0"/>
                  <wp:docPr id="340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51B1" w:rsidRDefault="000F46C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DF3CB87" wp14:editId="4CD3BD41">
                  <wp:extent cx="343687" cy="436768"/>
                  <wp:effectExtent l="19050" t="0" r="0" b="0"/>
                  <wp:docPr id="341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1B1" w:rsidTr="00961007">
        <w:trPr>
          <w:trHeight w:val="800"/>
          <w:jc w:val="center"/>
        </w:trPr>
        <w:tc>
          <w:tcPr>
            <w:tcW w:w="137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77620E6F" wp14:editId="07D0BE26">
                  <wp:extent cx="331470" cy="331470"/>
                  <wp:effectExtent l="19050" t="0" r="0" b="0"/>
                  <wp:docPr id="34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1B1" w:rsidRDefault="000F46CB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Aerographic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100:20:10-15 </w:t>
            </w:r>
            <w:r w:rsidR="00961007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5:1+10-15%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351B1" w:rsidRDefault="000F46CB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6 h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0351B1" w:rsidTr="00961007">
        <w:trPr>
          <w:trHeight w:val="800"/>
          <w:jc w:val="center"/>
        </w:trPr>
        <w:tc>
          <w:tcPr>
            <w:tcW w:w="137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2211FCD6" wp14:editId="271D6740">
                  <wp:extent cx="333375" cy="333375"/>
                  <wp:effectExtent l="19050" t="0" r="9525" b="0"/>
                  <wp:docPr id="343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1B1" w:rsidRDefault="000F46CB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100:20:0-5 </w:t>
            </w:r>
            <w:r w:rsidR="00961007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5:1+0-5%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0351B1" w:rsidRDefault="000F46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0351B1" w:rsidRDefault="000351B1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820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0351B1" w:rsidRDefault="00961007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</w:t>
            </w:r>
          </w:p>
        </w:tc>
      </w:tr>
    </w:tbl>
    <w:p w:rsidR="000351B1" w:rsidRDefault="000351B1">
      <w:pPr>
        <w:ind w:right="-2"/>
        <w:rPr>
          <w:rFonts w:ascii="Arial" w:hAnsi="Arial" w:cs="Arial"/>
          <w:i/>
          <w:lang w:val="es-ES_tradnl"/>
        </w:rPr>
      </w:pPr>
    </w:p>
    <w:p w:rsidR="00961007" w:rsidRDefault="00961007" w:rsidP="00961007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Zalecany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utwardzacz</w:t>
      </w:r>
      <w:proofErr w:type="spellEnd"/>
      <w:r>
        <w:rPr>
          <w:rFonts w:ascii="Arial" w:hAnsi="Arial" w:cs="Arial"/>
          <w:spacing w:val="-2"/>
          <w:lang w:val="en-US"/>
        </w:rPr>
        <w:t xml:space="preserve"> to </w:t>
      </w:r>
      <w:proofErr w:type="spellStart"/>
      <w:r>
        <w:rPr>
          <w:rFonts w:ascii="Arial" w:hAnsi="Arial" w:cs="Arial"/>
          <w:spacing w:val="-2"/>
          <w:lang w:val="en-US"/>
        </w:rPr>
        <w:t>seria</w:t>
      </w:r>
      <w:proofErr w:type="spellEnd"/>
      <w:r>
        <w:rPr>
          <w:rFonts w:ascii="Arial" w:hAnsi="Arial" w:cs="Arial"/>
          <w:spacing w:val="-2"/>
          <w:lang w:val="en-US"/>
        </w:rPr>
        <w:t xml:space="preserve"> E-90 w </w:t>
      </w:r>
      <w:proofErr w:type="spellStart"/>
      <w:r>
        <w:rPr>
          <w:rFonts w:ascii="Arial" w:hAnsi="Arial" w:cs="Arial"/>
          <w:spacing w:val="-2"/>
          <w:lang w:val="en-US"/>
        </w:rPr>
        <w:t>stosunku</w:t>
      </w:r>
      <w:proofErr w:type="spellEnd"/>
      <w:r>
        <w:rPr>
          <w:rFonts w:ascii="Arial" w:hAnsi="Arial" w:cs="Arial"/>
          <w:spacing w:val="-2"/>
          <w:lang w:val="en-US"/>
        </w:rPr>
        <w:t xml:space="preserve"> 5:1 </w:t>
      </w:r>
      <w:proofErr w:type="spellStart"/>
      <w:r>
        <w:rPr>
          <w:rFonts w:ascii="Arial" w:hAnsi="Arial" w:cs="Arial"/>
          <w:spacing w:val="-2"/>
          <w:lang w:val="en-US"/>
        </w:rPr>
        <w:t>obiętościowo</w:t>
      </w:r>
      <w:proofErr w:type="spellEnd"/>
      <w:r>
        <w:rPr>
          <w:rFonts w:ascii="Arial" w:hAnsi="Arial" w:cs="Arial"/>
          <w:spacing w:val="-2"/>
          <w:lang w:val="en-US"/>
        </w:rPr>
        <w:t xml:space="preserve">, 4:1 w </w:t>
      </w:r>
      <w:proofErr w:type="spellStart"/>
      <w:r>
        <w:rPr>
          <w:rFonts w:ascii="Arial" w:hAnsi="Arial" w:cs="Arial"/>
          <w:spacing w:val="-2"/>
          <w:lang w:val="en-US"/>
        </w:rPr>
        <w:t>pzypadku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kiedy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wymagana</w:t>
      </w:r>
      <w:proofErr w:type="spellEnd"/>
      <w:r>
        <w:rPr>
          <w:rFonts w:ascii="Arial" w:hAnsi="Arial" w:cs="Arial"/>
          <w:spacing w:val="-2"/>
          <w:lang w:val="en-US"/>
        </w:rPr>
        <w:t xml:space="preserve"> jest </w:t>
      </w:r>
      <w:proofErr w:type="spellStart"/>
      <w:r>
        <w:rPr>
          <w:rFonts w:ascii="Arial" w:hAnsi="Arial" w:cs="Arial"/>
          <w:spacing w:val="-2"/>
          <w:lang w:val="en-US"/>
        </w:rPr>
        <w:t>duża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wodoodporność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oraz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wysoki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połysk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0351B1" w:rsidRDefault="000351B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0351B1" w:rsidRDefault="000351B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351B1" w:rsidRDefault="000351B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0351B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0351B1" w:rsidRDefault="00961007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lastRenderedPageBreak/>
              <w:t>CZASY SCHNIĘCIA</w:t>
            </w:r>
          </w:p>
        </w:tc>
      </w:tr>
    </w:tbl>
    <w:p w:rsidR="000351B1" w:rsidRDefault="000351B1">
      <w:pPr>
        <w:ind w:right="-710" w:hanging="851"/>
        <w:rPr>
          <w:rFonts w:ascii="Zurich BlkEx BT" w:hAnsi="Zurich BlkEx BT"/>
          <w:sz w:val="22"/>
        </w:rPr>
      </w:pPr>
    </w:p>
    <w:p w:rsidR="000351B1" w:rsidRDefault="000351B1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0351B1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pt;height:36.8pt" o:ole="" fillcolor="window">
                  <v:imagedata r:id="rId18" o:title=""/>
                </v:shape>
                <o:OLEObject Type="Embed" ProgID="Word.Picture.8" ShapeID="_x0000_i1025" DrawAspect="Content" ObjectID="_1509863674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1B1" w:rsidRDefault="000F46CB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96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1B1" w:rsidRDefault="000F46CB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97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 xml:space="preserve">THROUGH DRY 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51B1" w:rsidRDefault="000351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8pt;height:36.8pt" o:ole="" fillcolor="window">
                  <v:imagedata r:id="rId18" o:title=""/>
                </v:shape>
                <o:OLEObject Type="Embed" ProgID="Word.Picture.8" ShapeID="_x0000_i1026" DrawAspect="Content" ObjectID="_1509863675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98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51B1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10’-15’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3h-3h30’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51B1" w:rsidRDefault="000351B1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0351B1" w:rsidRDefault="000F46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45’ </w:t>
            </w:r>
          </w:p>
        </w:tc>
      </w:tr>
    </w:tbl>
    <w:p w:rsidR="000351B1" w:rsidRDefault="000351B1">
      <w:pPr>
        <w:ind w:right="-710" w:hanging="851"/>
        <w:rPr>
          <w:rFonts w:ascii="Zurich BlkEx BT" w:hAnsi="Zurich BlkEx BT"/>
          <w:sz w:val="22"/>
        </w:rPr>
      </w:pPr>
    </w:p>
    <w:p w:rsidR="000351B1" w:rsidRDefault="000351B1">
      <w:pPr>
        <w:ind w:right="-710" w:hanging="851"/>
        <w:rPr>
          <w:rFonts w:ascii="Zurich BlkEx BT" w:hAnsi="Zurich BlkEx BT"/>
          <w:sz w:val="22"/>
        </w:rPr>
      </w:pPr>
    </w:p>
    <w:p w:rsidR="00961007" w:rsidRDefault="00961007" w:rsidP="00961007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0351B1" w:rsidRDefault="000351B1">
      <w:pPr>
        <w:ind w:left="426" w:right="-2"/>
        <w:rPr>
          <w:rFonts w:ascii="Arial" w:hAnsi="Arial" w:cs="Arial"/>
          <w:i/>
        </w:rPr>
      </w:pPr>
    </w:p>
    <w:p w:rsidR="000351B1" w:rsidRDefault="000351B1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0351B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0351B1" w:rsidRDefault="00961007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0351B1" w:rsidRDefault="000351B1">
      <w:pPr>
        <w:ind w:right="-710" w:hanging="851"/>
        <w:rPr>
          <w:rFonts w:ascii="Zurich BlkEx BT" w:hAnsi="Zurich BlkEx BT"/>
          <w:sz w:val="22"/>
        </w:rPr>
      </w:pPr>
    </w:p>
    <w:p w:rsidR="00961007" w:rsidRDefault="00961007" w:rsidP="00961007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0351B1" w:rsidRDefault="000351B1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0351B1" w:rsidRDefault="000351B1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0351B1" w:rsidRDefault="000351B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61007" w:rsidRDefault="00961007" w:rsidP="00961007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0351B1" w:rsidRDefault="000351B1">
      <w:pPr>
        <w:ind w:left="-142" w:right="-2"/>
        <w:jc w:val="both"/>
        <w:rPr>
          <w:rFonts w:ascii="Arial" w:hAnsi="Arial" w:cs="Arial"/>
          <w:lang w:val="en-US"/>
        </w:rPr>
      </w:pPr>
    </w:p>
    <w:p w:rsidR="000351B1" w:rsidRDefault="000351B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0351B1" w:rsidRDefault="000351B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5449B" w:rsidRDefault="00C5449B" w:rsidP="00C5449B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0351B1" w:rsidRDefault="000F46CB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0351B1" w:rsidRDefault="000351B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0351B1" w:rsidRDefault="000351B1">
      <w:pPr>
        <w:ind w:left="-142" w:right="-2"/>
        <w:jc w:val="both"/>
        <w:rPr>
          <w:rFonts w:ascii="Arial" w:hAnsi="Arial" w:cs="Arial"/>
          <w:lang w:val="es-ES_tradnl"/>
        </w:rPr>
      </w:pPr>
    </w:p>
    <w:p w:rsidR="00961007" w:rsidRDefault="00961007" w:rsidP="00961007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0351B1" w:rsidRDefault="000351B1">
      <w:pPr>
        <w:ind w:left="-142" w:right="-710"/>
        <w:jc w:val="both"/>
        <w:rPr>
          <w:rFonts w:ascii="Arial" w:hAnsi="Arial" w:cs="Arial"/>
          <w:lang w:val="en-US"/>
        </w:rPr>
      </w:pPr>
    </w:p>
    <w:p w:rsidR="000351B1" w:rsidRDefault="000351B1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351B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351B1" w:rsidRDefault="0096100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UZYCIA</w:t>
            </w:r>
          </w:p>
        </w:tc>
      </w:tr>
    </w:tbl>
    <w:p w:rsidR="000351B1" w:rsidRDefault="000351B1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61007" w:rsidRDefault="00961007" w:rsidP="00961007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0351B1" w:rsidRDefault="000351B1">
      <w:pPr>
        <w:ind w:left="-142" w:right="2408"/>
        <w:jc w:val="both"/>
        <w:rPr>
          <w:rFonts w:ascii="Arial" w:hAnsi="Arial" w:cs="Arial"/>
          <w:lang w:val="en-US"/>
        </w:rPr>
      </w:pPr>
    </w:p>
    <w:p w:rsidR="000351B1" w:rsidRDefault="000351B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0351B1" w:rsidRDefault="000351B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0351B1" w:rsidRDefault="000351B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0351B1" w:rsidRDefault="000351B1">
      <w:pPr>
        <w:ind w:left="-142" w:right="2408"/>
        <w:jc w:val="both"/>
        <w:rPr>
          <w:rFonts w:ascii="Arial" w:hAnsi="Arial" w:cs="Arial"/>
          <w:lang w:val="en-US"/>
        </w:rPr>
      </w:pPr>
    </w:p>
    <w:p w:rsidR="00961007" w:rsidRPr="001B6EDF" w:rsidRDefault="00961007" w:rsidP="00961007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0351B1" w:rsidRDefault="000351B1" w:rsidP="00961007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0351B1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3AF" w:rsidRDefault="00F413AF">
      <w:r>
        <w:separator/>
      </w:r>
    </w:p>
  </w:endnote>
  <w:endnote w:type="continuationSeparator" w:id="0">
    <w:p w:rsidR="00F413AF" w:rsidRDefault="00F4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B1" w:rsidRDefault="000F46C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D-987-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C5449B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C5449B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0351B1" w:rsidRDefault="004C35E2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51B1" w:rsidRDefault="000F46C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0351B1" w:rsidRDefault="000F46C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B1" w:rsidRDefault="000F46C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D-987-Version: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C5449B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0351B1" w:rsidRDefault="004C35E2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51B1" w:rsidRDefault="000F46C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0351B1" w:rsidRDefault="000F46C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+34 972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3AF" w:rsidRDefault="00F413AF">
      <w:r>
        <w:separator/>
      </w:r>
    </w:p>
  </w:footnote>
  <w:footnote w:type="continuationSeparator" w:id="0">
    <w:p w:rsidR="00F413AF" w:rsidRDefault="00F4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B1" w:rsidRDefault="000F46CB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351B1" w:rsidRDefault="000351B1">
    <w:pPr>
      <w:rPr>
        <w:sz w:val="24"/>
        <w:szCs w:val="24"/>
        <w:lang w:val="ca-ES" w:eastAsia="ca-ES"/>
      </w:rPr>
    </w:pPr>
  </w:p>
  <w:p w:rsidR="000351B1" w:rsidRDefault="000351B1">
    <w:pPr>
      <w:rPr>
        <w:sz w:val="24"/>
        <w:szCs w:val="24"/>
        <w:lang w:val="ca-ES" w:eastAsia="ca-ES"/>
      </w:rPr>
    </w:pPr>
  </w:p>
  <w:p w:rsidR="000351B1" w:rsidRDefault="000351B1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0351B1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0351B1" w:rsidRPr="004C35E2" w:rsidRDefault="000F46CB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C35E2">
            <w:rPr>
              <w:rFonts w:ascii="Arial" w:hAnsi="Arial" w:cs="Arial"/>
              <w:b/>
              <w:i/>
              <w:sz w:val="48"/>
              <w:szCs w:val="48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D-987</w:t>
          </w:r>
          <w:r w:rsidRPr="004C35E2"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4C35E2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POLYURETHANNE 2K FOR PVC</w:t>
          </w:r>
        </w:p>
      </w:tc>
    </w:tr>
  </w:tbl>
  <w:p w:rsidR="000351B1" w:rsidRPr="004C35E2" w:rsidRDefault="000351B1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0351B1" w:rsidRPr="004C35E2" w:rsidRDefault="000351B1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B1" w:rsidRDefault="000F46CB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351B1" w:rsidRDefault="000351B1">
    <w:pPr>
      <w:rPr>
        <w:sz w:val="24"/>
        <w:szCs w:val="24"/>
        <w:lang w:val="ca-ES" w:eastAsia="ca-ES"/>
      </w:rPr>
    </w:pPr>
  </w:p>
  <w:p w:rsidR="000351B1" w:rsidRDefault="000351B1">
    <w:pPr>
      <w:rPr>
        <w:sz w:val="24"/>
        <w:szCs w:val="24"/>
        <w:lang w:val="ca-ES" w:eastAsia="ca-ES"/>
      </w:rPr>
    </w:pPr>
  </w:p>
  <w:p w:rsidR="000351B1" w:rsidRDefault="000351B1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0351B1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0351B1" w:rsidRPr="004C35E2" w:rsidRDefault="000F46CB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C35E2">
            <w:rPr>
              <w:rFonts w:ascii="Arial" w:hAnsi="Arial" w:cs="Arial"/>
              <w:b/>
              <w:i/>
              <w:sz w:val="48"/>
              <w:szCs w:val="48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D-987</w:t>
          </w:r>
          <w:r w:rsidRPr="004C35E2"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4C35E2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POLYURETHANNE 2K FOR PVC </w:t>
          </w:r>
        </w:p>
      </w:tc>
    </w:tr>
  </w:tbl>
  <w:p w:rsidR="000351B1" w:rsidRDefault="000351B1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0351B1" w:rsidRDefault="000351B1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0351B1" w:rsidRDefault="004C35E2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51B1" w:rsidRDefault="000351B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0351B1" w:rsidRDefault="000351B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0351B1" w:rsidRDefault="000351B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0351B1" w:rsidRDefault="000351B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0351B1" w:rsidRDefault="000351B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0351B1" w:rsidRDefault="000351B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B1"/>
    <w:rsid w:val="000351B1"/>
    <w:rsid w:val="000F46CB"/>
    <w:rsid w:val="004C35E2"/>
    <w:rsid w:val="00961007"/>
    <w:rsid w:val="00C5449B"/>
    <w:rsid w:val="00F4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ED7E5-5D36-4C21-A192-6F8479DE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2015-11-19T08:21:00Z</dcterms:created>
  <dcterms:modified xsi:type="dcterms:W3CDTF">2015-11-24T08:47:00Z</dcterms:modified>
</cp:coreProperties>
</file>